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90" w:rsidRDefault="00DD304A" w:rsidP="005E7890">
      <w:pPr>
        <w:jc w:val="right"/>
      </w:pPr>
      <w:r>
        <w:t>Załącznik nr 2 do SWZ</w:t>
      </w:r>
      <w:bookmarkStart w:id="0" w:name="_GoBack"/>
      <w:bookmarkEnd w:id="0"/>
    </w:p>
    <w:p w:rsidR="005E7890" w:rsidRDefault="005E7890" w:rsidP="005E7890">
      <w:pPr>
        <w:jc w:val="center"/>
      </w:pPr>
      <w:r>
        <w:t>PROJEKTOWANE POSTANOWIENIA UMOWNE</w:t>
      </w:r>
    </w:p>
    <w:p w:rsidR="005E7890" w:rsidRDefault="005E7890" w:rsidP="005E7890">
      <w:pPr>
        <w:jc w:val="center"/>
      </w:pPr>
      <w:r>
        <w:t>Umowa nr ………..</w:t>
      </w:r>
    </w:p>
    <w:p w:rsidR="005E7890" w:rsidRDefault="005E7890" w:rsidP="005E7890">
      <w:r>
        <w:t>zawarta w dniu ……………. pomiędzy:</w:t>
      </w:r>
    </w:p>
    <w:p w:rsidR="005E7890" w:rsidRDefault="005E7890" w:rsidP="005E7890">
      <w:r>
        <w:t>Powiatem Częstochowskim</w:t>
      </w:r>
    </w:p>
    <w:p w:rsidR="005E7890" w:rsidRDefault="005E7890" w:rsidP="005E7890">
      <w:r>
        <w:t>z siedzibą przy ul. Jana III Sobieskiego, 42-400 Zawiercie</w:t>
      </w:r>
    </w:p>
    <w:p w:rsidR="005E7890" w:rsidRDefault="005E7890" w:rsidP="005E7890">
      <w:r>
        <w:t>NIP: 6492318342, REGON: 385525891</w:t>
      </w:r>
    </w:p>
    <w:p w:rsidR="005E7890" w:rsidRDefault="005E7890" w:rsidP="005E7890">
      <w:r>
        <w:t>w imieniu którego działa:</w:t>
      </w:r>
    </w:p>
    <w:p w:rsidR="005E7890" w:rsidRDefault="00790046" w:rsidP="005E7890">
      <w:r>
        <w:t>Alicja Grzegorczyk</w:t>
      </w:r>
      <w:r w:rsidR="005E7890">
        <w:t xml:space="preserve"> – Dyrektor</w:t>
      </w:r>
      <w:r>
        <w:t xml:space="preserve"> Domu Pomocy Społecznej w Lelowie ul. Szczekocińska 19 na podstawie pełnomocnictwa z dnia 28 maja 2014 r. nr. 657/2014 </w:t>
      </w:r>
      <w:r w:rsidR="005E7890">
        <w:t>przy kontrasygnacie Głównej</w:t>
      </w:r>
      <w:r>
        <w:t xml:space="preserve"> Księgowej – Haliny Bączyńskiej </w:t>
      </w:r>
      <w:r w:rsidR="005E7890">
        <w:t>,</w:t>
      </w:r>
    </w:p>
    <w:p w:rsidR="005E7890" w:rsidRDefault="005E7890" w:rsidP="005E7890">
      <w:r>
        <w:t>zwanym w dalszej części umowy Zamawiającym,</w:t>
      </w:r>
    </w:p>
    <w:p w:rsidR="005E7890" w:rsidRDefault="005E7890" w:rsidP="005E7890">
      <w:r>
        <w:t>a</w:t>
      </w:r>
    </w:p>
    <w:p w:rsidR="005E7890" w:rsidRDefault="005E7890" w:rsidP="005E7890">
      <w:r>
        <w:t>…………………………………………………………………………………………………………………………………………………………………………………………………………………………</w:t>
      </w:r>
    </w:p>
    <w:p w:rsidR="005E7890" w:rsidRDefault="005E7890" w:rsidP="005E7890">
      <w:r>
        <w:t>zwanym w dalszej części umowy Wykonawcą, zwanymi łącznie Stronami, a oddzielnie Stroną</w:t>
      </w:r>
    </w:p>
    <w:p w:rsidR="005E7890" w:rsidRDefault="005E7890" w:rsidP="005E7890">
      <w:r>
        <w:t>w wyniku rozstrzygnięcia postepowania o udzielenie zamówienia publicznego prowadzonego w trybie podstawowym, o którym mowa w art. 275 pkt 1 ustawy z dnia 11 września 2019 r. Prawo zamówień publicznych, pod nazwą: „Sukcesyw</w:t>
      </w:r>
      <w:r w:rsidR="00790046">
        <w:t xml:space="preserve">ne dostawy oleju opałowego do kotłowni olejowej w Domu Pomocy Społecznej w Lelowie” </w:t>
      </w:r>
      <w:r>
        <w:t>, zawiera się umowę o następującej treści:</w:t>
      </w:r>
    </w:p>
    <w:p w:rsidR="005E7890" w:rsidRPr="00790046" w:rsidRDefault="005E7890" w:rsidP="00790046">
      <w:pPr>
        <w:jc w:val="center"/>
        <w:rPr>
          <w:b/>
        </w:rPr>
      </w:pPr>
      <w:r w:rsidRPr="00790046">
        <w:rPr>
          <w:b/>
        </w:rPr>
        <w:t>§ 1</w:t>
      </w:r>
    </w:p>
    <w:p w:rsidR="005E7890" w:rsidRDefault="005E7890" w:rsidP="00790046">
      <w:pPr>
        <w:jc w:val="center"/>
        <w:rPr>
          <w:b/>
        </w:rPr>
      </w:pPr>
      <w:r w:rsidRPr="00790046">
        <w:rPr>
          <w:b/>
        </w:rPr>
        <w:t>Przedmiot umowy</w:t>
      </w:r>
    </w:p>
    <w:p w:rsidR="00A261AD" w:rsidRPr="002751AA" w:rsidRDefault="00A261AD" w:rsidP="00A261AD">
      <w:pPr>
        <w:jc w:val="both"/>
      </w:pPr>
      <w:r w:rsidRPr="002751AA">
        <w:t>1. Przedmiotem</w:t>
      </w:r>
      <w:r>
        <w:t xml:space="preserve"> umowy jest realizacja </w:t>
      </w:r>
      <w:r w:rsidRPr="002751AA">
        <w:t>zamówienia ja</w:t>
      </w:r>
      <w:r>
        <w:t>ką jest sukcesywna dostawa oleju opałowego lekkiego w 2022 r. do kotłowni olejowej w budynku Domu Pomocy Społecznej w Lelowie zlokalizowanej przy ul. Szczekocińskiej 19, 42-235 Lelów.</w:t>
      </w:r>
    </w:p>
    <w:p w:rsidR="00A261AD" w:rsidRPr="002751AA" w:rsidRDefault="00A261AD" w:rsidP="00A261AD">
      <w:pPr>
        <w:jc w:val="both"/>
      </w:pPr>
      <w:r w:rsidRPr="002751AA">
        <w:t xml:space="preserve">2. Gwarantowany zakres przedmiotu umowy obejmuje niżej wymienione paliwa: </w:t>
      </w:r>
    </w:p>
    <w:p w:rsidR="00A261AD" w:rsidRPr="002751AA" w:rsidRDefault="00A261AD" w:rsidP="00A261AD">
      <w:pPr>
        <w:jc w:val="both"/>
      </w:pPr>
      <w:r w:rsidRPr="002751AA">
        <w:t>1</w:t>
      </w:r>
      <w:r>
        <w:t>) olej opałowy lekki o parametrach</w:t>
      </w:r>
      <w:r w:rsidRPr="00745622">
        <w:t xml:space="preserve"> spełniających wymagania normy </w:t>
      </w:r>
      <w:r>
        <w:t xml:space="preserve">PN-C 96024:2011 dla gatunku L-  – w ilości </w:t>
      </w:r>
      <w:r w:rsidRPr="002751AA">
        <w:t xml:space="preserve"> </w:t>
      </w:r>
      <w:r w:rsidR="00E71BAC">
        <w:t>ok. 8</w:t>
      </w:r>
      <w:r>
        <w:t xml:space="preserve">0 </w:t>
      </w:r>
      <w:r w:rsidRPr="002751AA">
        <w:t xml:space="preserve">000 litrów, </w:t>
      </w:r>
      <w:r>
        <w:t>CPV 09135100-5.</w:t>
      </w:r>
    </w:p>
    <w:p w:rsidR="00E71BAC" w:rsidRDefault="00A261AD" w:rsidP="00A261AD">
      <w:pPr>
        <w:jc w:val="both"/>
      </w:pPr>
      <w:r w:rsidRPr="002751AA">
        <w:t>3. Zamawiający przewiduje możliwość rozszerzenia zakresu zamówienia przy zastosowaniu prawa opcji, polegającego na możliwości zwiększenia zakresu ilośc</w:t>
      </w:r>
      <w:r>
        <w:t xml:space="preserve">iowego oleju opałowego lekkiego do </w:t>
      </w:r>
    </w:p>
    <w:p w:rsidR="00A261AD" w:rsidRPr="002751AA" w:rsidRDefault="00A261AD" w:rsidP="00A261AD">
      <w:pPr>
        <w:jc w:val="both"/>
      </w:pPr>
      <w:r>
        <w:t>7 0</w:t>
      </w:r>
      <w:r w:rsidRPr="002751AA">
        <w:t xml:space="preserve">00 litrów. Skorzystanie przez Zamawiającego z prawa opcji będzie miało zastosowanie w przypadku wyczerpania przez Zamawiającego zamówienia podstawowego. </w:t>
      </w:r>
    </w:p>
    <w:p w:rsidR="00A261AD" w:rsidRPr="002751AA" w:rsidRDefault="00A261AD" w:rsidP="00A261AD">
      <w:pPr>
        <w:jc w:val="both"/>
      </w:pPr>
      <w:r w:rsidRPr="002751AA">
        <w:t xml:space="preserve">4. Zamawiający zastrzega, iż może nie skorzystać z prawa opcji bądź skorzystać z niego w mniejszym zakresie aniżeli określony w ust. 3 </w:t>
      </w:r>
    </w:p>
    <w:p w:rsidR="00A261AD" w:rsidRPr="002751AA" w:rsidRDefault="00A261AD" w:rsidP="00A261AD">
      <w:pPr>
        <w:jc w:val="both"/>
      </w:pPr>
      <w:r w:rsidRPr="002751AA">
        <w:t xml:space="preserve">5. W przypadku skorzystania przez Zamawiającego z prawa opcji uruchomiony w tym trybie zakres opcjonalny ma być realizowany w sposób analogiczny, jak zakres gwarantowany (podstawowy). </w:t>
      </w:r>
      <w:r w:rsidRPr="002751AA">
        <w:lastRenderedPageBreak/>
        <w:t xml:space="preserve">Przedmiotu umowy objętego zakresem opcjonalnym zamówienia dotyczą te same warunki i zobowiązania umowne Wykonawcy co przedmiotu umowy objętego zakresem podstawowym zamówienia. </w:t>
      </w:r>
    </w:p>
    <w:p w:rsidR="00874D26" w:rsidRPr="00A261AD" w:rsidRDefault="00A261AD" w:rsidP="00A261AD">
      <w:pPr>
        <w:jc w:val="both"/>
      </w:pPr>
      <w:r>
        <w:t>6</w:t>
      </w:r>
      <w:r w:rsidRPr="002751AA">
        <w:t xml:space="preserve">. Tankowanie będzie realizowane w okresie obowiązywania umowy, zgodnie z bieżącym potrzebami Zamawiającego – w dowolnym terminie i o dowolnym czasie. </w:t>
      </w:r>
    </w:p>
    <w:p w:rsidR="00874D26" w:rsidRPr="00A261AD" w:rsidRDefault="00A261AD" w:rsidP="00A261AD">
      <w:pPr>
        <w:rPr>
          <w:bCs/>
        </w:rPr>
      </w:pPr>
      <w:r>
        <w:rPr>
          <w:bCs/>
        </w:rPr>
        <w:t>7.</w:t>
      </w:r>
      <w:r w:rsidR="00874D26" w:rsidRPr="00A261AD">
        <w:rPr>
          <w:bCs/>
        </w:rPr>
        <w:t xml:space="preserve">Dostarczony olej musi spełniać wymagane parametry, tj.: </w:t>
      </w:r>
    </w:p>
    <w:tbl>
      <w:tblPr>
        <w:tblW w:w="0" w:type="auto"/>
        <w:tblInd w:w="-10" w:type="dxa"/>
        <w:tblLayout w:type="fixed"/>
        <w:tblCellMar>
          <w:top w:w="55" w:type="dxa"/>
          <w:left w:w="55" w:type="dxa"/>
          <w:bottom w:w="55" w:type="dxa"/>
          <w:right w:w="55" w:type="dxa"/>
        </w:tblCellMar>
        <w:tblLook w:val="0000" w:firstRow="0" w:lastRow="0" w:firstColumn="0" w:lastColumn="0" w:noHBand="0" w:noVBand="0"/>
      </w:tblPr>
      <w:tblGrid>
        <w:gridCol w:w="3555"/>
        <w:gridCol w:w="2610"/>
        <w:gridCol w:w="2773"/>
      </w:tblGrid>
      <w:tr w:rsidR="00874D26" w:rsidRPr="004B316A" w:rsidTr="00720E39">
        <w:tc>
          <w:tcPr>
            <w:tcW w:w="3555" w:type="dxa"/>
            <w:tcBorders>
              <w:top w:val="single" w:sz="2" w:space="0" w:color="000000"/>
              <w:left w:val="single" w:sz="2" w:space="0" w:color="000000"/>
              <w:bottom w:val="single" w:sz="2" w:space="0" w:color="000000"/>
              <w:right w:val="nil"/>
            </w:tcBorders>
          </w:tcPr>
          <w:p w:rsidR="00874D26" w:rsidRPr="004B316A" w:rsidRDefault="00874D26" w:rsidP="00720E39">
            <w:pPr>
              <w:jc w:val="center"/>
            </w:pPr>
            <w:r w:rsidRPr="004B316A">
              <w:t>Właściwości</w:t>
            </w:r>
          </w:p>
        </w:tc>
        <w:tc>
          <w:tcPr>
            <w:tcW w:w="2610" w:type="dxa"/>
            <w:tcBorders>
              <w:top w:val="single" w:sz="2" w:space="0" w:color="000000"/>
              <w:left w:val="single" w:sz="2" w:space="0" w:color="000000"/>
              <w:bottom w:val="single" w:sz="2" w:space="0" w:color="000000"/>
              <w:right w:val="nil"/>
            </w:tcBorders>
          </w:tcPr>
          <w:p w:rsidR="00874D26" w:rsidRPr="004B316A" w:rsidRDefault="00874D26" w:rsidP="00720E39">
            <w:pPr>
              <w:jc w:val="center"/>
            </w:pPr>
            <w:r w:rsidRPr="004B316A">
              <w:t>Jednostka</w:t>
            </w:r>
          </w:p>
        </w:tc>
        <w:tc>
          <w:tcPr>
            <w:tcW w:w="2773" w:type="dxa"/>
            <w:tcBorders>
              <w:top w:val="single" w:sz="2" w:space="0" w:color="000000"/>
              <w:left w:val="single" w:sz="2" w:space="0" w:color="000000"/>
              <w:bottom w:val="single" w:sz="2" w:space="0" w:color="000000"/>
              <w:right w:val="single" w:sz="2" w:space="0" w:color="000000"/>
            </w:tcBorders>
          </w:tcPr>
          <w:p w:rsidR="00874D26" w:rsidRPr="004B316A" w:rsidRDefault="00874D26" w:rsidP="00720E39">
            <w:pPr>
              <w:jc w:val="center"/>
            </w:pPr>
            <w:r w:rsidRPr="004B316A">
              <w:t>Wymagania - L1</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Gęstość: w 15ºC, max</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kg/m3</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860</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Wartość opałowa, min</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MJ/kg</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42,6</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Temperatura zapłonu, min</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ºC</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56</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Lepkość kinematyczna w 20ºC,max</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mm²/s</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6</w:t>
            </w:r>
          </w:p>
        </w:tc>
      </w:tr>
      <w:tr w:rsidR="00874D26" w:rsidRPr="004B316A" w:rsidTr="00720E39">
        <w:tc>
          <w:tcPr>
            <w:tcW w:w="8938" w:type="dxa"/>
            <w:gridSpan w:val="3"/>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Skład frakcyjny:</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do 250ºC destyluje, max</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 xml:space="preserve">        % (v/v)</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65</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do 350ºC destyluje, min</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 xml:space="preserve">% (v/v) </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85</w:t>
            </w:r>
          </w:p>
        </w:tc>
      </w:tr>
      <w:tr w:rsidR="00874D26" w:rsidRPr="004B316A" w:rsidTr="00720E39">
        <w:tc>
          <w:tcPr>
            <w:tcW w:w="3555" w:type="dxa"/>
            <w:tcBorders>
              <w:top w:val="nil"/>
              <w:left w:val="single" w:sz="2" w:space="0" w:color="000000"/>
              <w:bottom w:val="single" w:sz="4" w:space="0" w:color="auto"/>
              <w:right w:val="nil"/>
            </w:tcBorders>
          </w:tcPr>
          <w:p w:rsidR="00874D26" w:rsidRPr="004B316A" w:rsidRDefault="00874D26" w:rsidP="00720E39">
            <w:pPr>
              <w:jc w:val="center"/>
            </w:pPr>
            <w:r w:rsidRPr="004B316A">
              <w:t>Temperatura płynięcia, max</w:t>
            </w:r>
          </w:p>
        </w:tc>
        <w:tc>
          <w:tcPr>
            <w:tcW w:w="2610" w:type="dxa"/>
            <w:tcBorders>
              <w:top w:val="nil"/>
              <w:left w:val="single" w:sz="2" w:space="0" w:color="000000"/>
              <w:bottom w:val="single" w:sz="4" w:space="0" w:color="auto"/>
              <w:right w:val="nil"/>
            </w:tcBorders>
          </w:tcPr>
          <w:p w:rsidR="00874D26" w:rsidRPr="004B316A" w:rsidRDefault="00874D26" w:rsidP="00720E39">
            <w:pPr>
              <w:jc w:val="center"/>
            </w:pPr>
            <w:r w:rsidRPr="004B316A">
              <w:t>ºC</w:t>
            </w:r>
          </w:p>
        </w:tc>
        <w:tc>
          <w:tcPr>
            <w:tcW w:w="2773" w:type="dxa"/>
            <w:tcBorders>
              <w:top w:val="nil"/>
              <w:left w:val="single" w:sz="2" w:space="0" w:color="000000"/>
              <w:bottom w:val="single" w:sz="4" w:space="0" w:color="auto"/>
              <w:right w:val="single" w:sz="2" w:space="0" w:color="000000"/>
            </w:tcBorders>
          </w:tcPr>
          <w:p w:rsidR="00874D26" w:rsidRPr="004B316A" w:rsidRDefault="00874D26" w:rsidP="00720E39">
            <w:pPr>
              <w:jc w:val="center"/>
            </w:pPr>
            <w:r w:rsidRPr="004B316A">
              <w:t>-20</w:t>
            </w:r>
          </w:p>
        </w:tc>
      </w:tr>
      <w:tr w:rsidR="00874D26" w:rsidRPr="004B316A" w:rsidTr="00720E39">
        <w:tc>
          <w:tcPr>
            <w:tcW w:w="3555" w:type="dxa"/>
            <w:tcBorders>
              <w:top w:val="single" w:sz="4" w:space="0" w:color="auto"/>
              <w:left w:val="single" w:sz="2" w:space="0" w:color="000000"/>
              <w:bottom w:val="single" w:sz="2" w:space="0" w:color="000000"/>
              <w:right w:val="single" w:sz="2" w:space="0" w:color="000000"/>
            </w:tcBorders>
          </w:tcPr>
          <w:p w:rsidR="00874D26" w:rsidRPr="004B316A" w:rsidRDefault="00874D26" w:rsidP="00720E39">
            <w:pPr>
              <w:jc w:val="center"/>
            </w:pPr>
            <w:r w:rsidRPr="004B316A">
              <w:t>Pozostałość po koksowaniu w 10% pozostałości destylacyjnej, max</w:t>
            </w:r>
          </w:p>
        </w:tc>
        <w:tc>
          <w:tcPr>
            <w:tcW w:w="2610" w:type="dxa"/>
            <w:tcBorders>
              <w:top w:val="single" w:sz="4" w:space="0" w:color="auto"/>
              <w:left w:val="single" w:sz="2" w:space="0" w:color="000000"/>
              <w:bottom w:val="single" w:sz="2" w:space="0" w:color="000000"/>
              <w:right w:val="single" w:sz="2" w:space="0" w:color="000000"/>
            </w:tcBorders>
          </w:tcPr>
          <w:p w:rsidR="00874D26" w:rsidRPr="004B316A" w:rsidRDefault="00874D26" w:rsidP="00720E39">
            <w:pPr>
              <w:jc w:val="center"/>
            </w:pPr>
            <w:r w:rsidRPr="004B316A">
              <w:t xml:space="preserve">   % (m/m)</w:t>
            </w:r>
          </w:p>
        </w:tc>
        <w:tc>
          <w:tcPr>
            <w:tcW w:w="2773" w:type="dxa"/>
            <w:tcBorders>
              <w:top w:val="single" w:sz="4" w:space="0" w:color="auto"/>
              <w:left w:val="single" w:sz="2" w:space="0" w:color="000000"/>
              <w:bottom w:val="single" w:sz="2" w:space="0" w:color="000000"/>
              <w:right w:val="single" w:sz="2" w:space="0" w:color="000000"/>
            </w:tcBorders>
          </w:tcPr>
          <w:p w:rsidR="00874D26" w:rsidRPr="004B316A" w:rsidRDefault="00874D26" w:rsidP="00720E39">
            <w:pPr>
              <w:jc w:val="center"/>
            </w:pPr>
            <w:r w:rsidRPr="004B316A">
              <w:t>0,3</w:t>
            </w:r>
          </w:p>
        </w:tc>
      </w:tr>
      <w:tr w:rsidR="00874D26" w:rsidRPr="004B316A" w:rsidTr="00720E39">
        <w:tc>
          <w:tcPr>
            <w:tcW w:w="3555" w:type="dxa"/>
            <w:tcBorders>
              <w:top w:val="single" w:sz="2" w:space="0" w:color="000000"/>
              <w:left w:val="single" w:sz="2" w:space="0" w:color="000000"/>
              <w:bottom w:val="single" w:sz="2" w:space="0" w:color="000000"/>
              <w:right w:val="nil"/>
            </w:tcBorders>
          </w:tcPr>
          <w:p w:rsidR="00874D26" w:rsidRPr="004B316A" w:rsidRDefault="00874D26" w:rsidP="00720E39">
            <w:pPr>
              <w:jc w:val="center"/>
            </w:pPr>
            <w:r w:rsidRPr="004B316A">
              <w:t xml:space="preserve">Zawartość siarki, max </w:t>
            </w:r>
          </w:p>
        </w:tc>
        <w:tc>
          <w:tcPr>
            <w:tcW w:w="2610" w:type="dxa"/>
            <w:tcBorders>
              <w:top w:val="single" w:sz="2" w:space="0" w:color="000000"/>
              <w:left w:val="single" w:sz="2" w:space="0" w:color="000000"/>
              <w:bottom w:val="single" w:sz="2" w:space="0" w:color="000000"/>
              <w:right w:val="nil"/>
            </w:tcBorders>
          </w:tcPr>
          <w:p w:rsidR="00874D26" w:rsidRPr="004B316A" w:rsidRDefault="00874D26" w:rsidP="00720E39">
            <w:pPr>
              <w:jc w:val="center"/>
            </w:pPr>
            <w:r w:rsidRPr="004B316A">
              <w:t xml:space="preserve">     % (m/m)</w:t>
            </w:r>
          </w:p>
        </w:tc>
        <w:tc>
          <w:tcPr>
            <w:tcW w:w="2773" w:type="dxa"/>
            <w:tcBorders>
              <w:top w:val="single" w:sz="2" w:space="0" w:color="000000"/>
              <w:left w:val="single" w:sz="2" w:space="0" w:color="000000"/>
              <w:bottom w:val="single" w:sz="2" w:space="0" w:color="000000"/>
              <w:right w:val="single" w:sz="2" w:space="0" w:color="000000"/>
            </w:tcBorders>
          </w:tcPr>
          <w:p w:rsidR="00874D26" w:rsidRPr="004B316A" w:rsidRDefault="00874D26" w:rsidP="00720E39">
            <w:pPr>
              <w:jc w:val="center"/>
            </w:pPr>
            <w:r w:rsidRPr="004B316A">
              <w:t>0,1</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Zawartość wody, max</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mg/kg</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200</w:t>
            </w:r>
          </w:p>
        </w:tc>
      </w:tr>
      <w:tr w:rsidR="00874D26" w:rsidRPr="004B316A" w:rsidTr="00720E39">
        <w:trPr>
          <w:trHeight w:val="633"/>
        </w:trPr>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Zawartość zanieczyszczeń stałych, max</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mg/kg</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24</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Pozostałość po spopieleniu, max</w:t>
            </w:r>
          </w:p>
        </w:tc>
        <w:tc>
          <w:tcPr>
            <w:tcW w:w="2610" w:type="dxa"/>
            <w:tcBorders>
              <w:top w:val="nil"/>
              <w:left w:val="single" w:sz="2" w:space="0" w:color="000000"/>
              <w:bottom w:val="single" w:sz="2" w:space="0" w:color="000000"/>
              <w:right w:val="nil"/>
            </w:tcBorders>
          </w:tcPr>
          <w:p w:rsidR="00874D26" w:rsidRPr="004B316A" w:rsidRDefault="00874D26" w:rsidP="00720E39">
            <w:pPr>
              <w:jc w:val="center"/>
            </w:pPr>
            <w:r w:rsidRPr="004B316A">
              <w:t xml:space="preserve">            % (m/m)</w:t>
            </w:r>
          </w:p>
        </w:tc>
        <w:tc>
          <w:tcPr>
            <w:tcW w:w="2773" w:type="dxa"/>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0,01</w:t>
            </w:r>
          </w:p>
        </w:tc>
      </w:tr>
      <w:tr w:rsidR="00874D26" w:rsidRPr="004B316A" w:rsidTr="00720E39">
        <w:tc>
          <w:tcPr>
            <w:tcW w:w="3555" w:type="dxa"/>
            <w:tcBorders>
              <w:top w:val="nil"/>
              <w:left w:val="single" w:sz="2" w:space="0" w:color="000000"/>
              <w:bottom w:val="single" w:sz="2" w:space="0" w:color="000000"/>
              <w:right w:val="nil"/>
            </w:tcBorders>
          </w:tcPr>
          <w:p w:rsidR="00874D26" w:rsidRPr="004B316A" w:rsidRDefault="00874D26" w:rsidP="00720E39">
            <w:pPr>
              <w:jc w:val="center"/>
            </w:pPr>
            <w:r w:rsidRPr="004B316A">
              <w:t>Barwa</w:t>
            </w:r>
          </w:p>
        </w:tc>
        <w:tc>
          <w:tcPr>
            <w:tcW w:w="5383" w:type="dxa"/>
            <w:gridSpan w:val="2"/>
            <w:tcBorders>
              <w:top w:val="nil"/>
              <w:left w:val="single" w:sz="2" w:space="0" w:color="000000"/>
              <w:bottom w:val="single" w:sz="2" w:space="0" w:color="000000"/>
              <w:right w:val="single" w:sz="2" w:space="0" w:color="000000"/>
            </w:tcBorders>
          </w:tcPr>
          <w:p w:rsidR="00874D26" w:rsidRPr="004B316A" w:rsidRDefault="00874D26" w:rsidP="00720E39">
            <w:pPr>
              <w:jc w:val="center"/>
            </w:pPr>
            <w:r w:rsidRPr="004B316A">
              <w:t xml:space="preserve">                                   czerwona</w:t>
            </w:r>
          </w:p>
        </w:tc>
      </w:tr>
    </w:tbl>
    <w:p w:rsidR="00A261AD" w:rsidRDefault="00A261AD" w:rsidP="00A261AD">
      <w:r>
        <w:t xml:space="preserve"> 8.</w:t>
      </w:r>
      <w:r w:rsidRPr="004B316A">
        <w:t>Asortyment ww. dostawy jest zgodny jest ze specyfikacją warunków zamówienia oraz ofertą przetargową.</w:t>
      </w:r>
    </w:p>
    <w:p w:rsidR="00874D26" w:rsidRDefault="00874D26" w:rsidP="00790046">
      <w:pPr>
        <w:jc w:val="center"/>
        <w:rPr>
          <w:b/>
        </w:rPr>
      </w:pPr>
    </w:p>
    <w:p w:rsidR="00874D26" w:rsidRDefault="00874D26" w:rsidP="00790046">
      <w:pPr>
        <w:jc w:val="center"/>
        <w:rPr>
          <w:b/>
        </w:rPr>
      </w:pPr>
    </w:p>
    <w:p w:rsidR="00874D26" w:rsidRDefault="00874D26" w:rsidP="00790046">
      <w:pPr>
        <w:jc w:val="center"/>
        <w:rPr>
          <w:b/>
        </w:rPr>
      </w:pPr>
    </w:p>
    <w:p w:rsidR="00A261AD" w:rsidRDefault="00A261AD" w:rsidP="00A261AD">
      <w:pPr>
        <w:rPr>
          <w:b/>
        </w:rPr>
      </w:pPr>
    </w:p>
    <w:p w:rsidR="005E7890" w:rsidRPr="00790046" w:rsidRDefault="005E7890" w:rsidP="00A261AD">
      <w:pPr>
        <w:jc w:val="center"/>
        <w:rPr>
          <w:b/>
        </w:rPr>
      </w:pPr>
      <w:r w:rsidRPr="00790046">
        <w:rPr>
          <w:b/>
        </w:rPr>
        <w:lastRenderedPageBreak/>
        <w:t>§ 2</w:t>
      </w:r>
    </w:p>
    <w:p w:rsidR="005E7890" w:rsidRPr="00790046" w:rsidRDefault="005E7890" w:rsidP="00790046">
      <w:pPr>
        <w:jc w:val="center"/>
        <w:rPr>
          <w:b/>
        </w:rPr>
      </w:pPr>
      <w:r w:rsidRPr="00790046">
        <w:rPr>
          <w:b/>
        </w:rPr>
        <w:t>Termin realizacji umowy</w:t>
      </w:r>
    </w:p>
    <w:p w:rsidR="00F246F8" w:rsidRDefault="005E7890" w:rsidP="005E7890">
      <w:r>
        <w:t>Umowę zawier</w:t>
      </w:r>
      <w:r w:rsidR="00F246F8">
        <w:t xml:space="preserve">a się od dnia podpisania umowy </w:t>
      </w:r>
      <w:r>
        <w:t>do 31.12.2022 r.</w:t>
      </w:r>
      <w:r w:rsidR="00F246F8">
        <w:t xml:space="preserve"> Wykonawca będzie realizował dostawy przedmiotu umowy w ilościach wynikających z bieżących potrzeb Zamawiającego w dniach od poniedziałku do piątku od złożonego telefonicznie, faksem lub emailem zamówienia.</w:t>
      </w:r>
    </w:p>
    <w:p w:rsidR="005E7890" w:rsidRPr="00790046" w:rsidRDefault="005E7890" w:rsidP="00790046">
      <w:pPr>
        <w:jc w:val="center"/>
        <w:rPr>
          <w:b/>
        </w:rPr>
      </w:pPr>
      <w:r w:rsidRPr="00790046">
        <w:rPr>
          <w:b/>
        </w:rPr>
        <w:t>§ 3</w:t>
      </w:r>
    </w:p>
    <w:p w:rsidR="005E7890" w:rsidRPr="00790046" w:rsidRDefault="005E7890" w:rsidP="00790046">
      <w:pPr>
        <w:jc w:val="center"/>
        <w:rPr>
          <w:b/>
        </w:rPr>
      </w:pPr>
      <w:r w:rsidRPr="00790046">
        <w:rPr>
          <w:b/>
        </w:rPr>
        <w:t>Warunki płatności</w:t>
      </w:r>
    </w:p>
    <w:p w:rsidR="005E7890" w:rsidRDefault="005E7890" w:rsidP="005E7890">
      <w:r>
        <w:t>1. Wynagrodzenie Wykonawcy, wynikające ze złożonej oferty, w zakresie z</w:t>
      </w:r>
      <w:r w:rsidR="00E71BAC">
        <w:t>amówienia gwarantowanego</w:t>
      </w:r>
      <w:r>
        <w:t xml:space="preserve"> ……… </w:t>
      </w:r>
      <w:r w:rsidR="00666C83">
        <w:t>PLN netto (słownie: …………………..)podatek Vat 23% , wynosi ………..</w:t>
      </w:r>
    </w:p>
    <w:p w:rsidR="00666C83" w:rsidRDefault="00666C83" w:rsidP="005E7890">
      <w:r>
        <w:t>wynosi ……… PLN brutto (słownie: …………………..).</w:t>
      </w:r>
    </w:p>
    <w:p w:rsidR="00F246F8" w:rsidRDefault="005E7890" w:rsidP="005E7890">
      <w:r>
        <w:t xml:space="preserve">2. </w:t>
      </w:r>
      <w:r w:rsidR="00C20234">
        <w:t>Podstawą wypłaty wynagrodzenia jest prawidłowo wystawiona przez Wykonawcę, po każdorazowej dostawie oleju faktura VAT, w oparciu o ceny jednostkowe określone  zgodnie z Załącznikiem nr. 1 do umowy.</w:t>
      </w:r>
    </w:p>
    <w:p w:rsidR="007D6454" w:rsidRPr="007D6454" w:rsidRDefault="007D6454" w:rsidP="005E7890">
      <w:r>
        <w:t>3. Za zakupiony olej opałowy, Wykonawca będzie wystawiał faktury VAT zgodnie z ilością faktycznie zamówionego paliwa, według ceny jednostkowej za 1 m</w:t>
      </w:r>
      <w:r>
        <w:rPr>
          <w:vertAlign w:val="superscript"/>
        </w:rPr>
        <w:t xml:space="preserve">3 </w:t>
      </w:r>
      <w:r w:rsidRPr="007D6454">
        <w:t>obowiązującej w dniu sprzedaży podanej na stronie</w:t>
      </w:r>
      <w:r>
        <w:t xml:space="preserve"> </w:t>
      </w:r>
      <w:hyperlink r:id="rId5" w:history="1">
        <w:r w:rsidRPr="00C0004D">
          <w:rPr>
            <w:rStyle w:val="Hipercze"/>
          </w:rPr>
          <w:t>www.lotos.pl</w:t>
        </w:r>
      </w:hyperlink>
      <w:r>
        <w:rPr>
          <w:u w:val="single"/>
        </w:rPr>
        <w:t xml:space="preserve">  </w:t>
      </w:r>
      <w:r w:rsidR="00E71BAC">
        <w:t xml:space="preserve"> + </w:t>
      </w:r>
      <w:hyperlink r:id="rId6" w:history="1">
        <w:r w:rsidRPr="00C0004D">
          <w:rPr>
            <w:rStyle w:val="Hipercze"/>
          </w:rPr>
          <w:t>www.orlen.pl</w:t>
        </w:r>
      </w:hyperlink>
      <w:r w:rsidR="00E71BAC">
        <w:rPr>
          <w:rStyle w:val="Hipercze"/>
        </w:rPr>
        <w:t xml:space="preserve"> </w:t>
      </w:r>
      <w:r w:rsidR="00E71BAC" w:rsidRPr="00E71BAC">
        <w:t>, podzielona  przez 2</w:t>
      </w:r>
      <w:r w:rsidR="00E71BAC">
        <w:t xml:space="preserve"> dla autocystern</w:t>
      </w:r>
      <w:r w:rsidR="00E71BAC" w:rsidRPr="00E71BAC">
        <w:t xml:space="preserve"> oraz </w:t>
      </w:r>
      <w:r w:rsidRPr="00E71BAC">
        <w:t>p</w:t>
      </w:r>
      <w:r w:rsidRPr="007D6454">
        <w:t>omniejszonej o upust określony w ust. 4</w:t>
      </w:r>
      <w:r>
        <w:t>, zgodnie z ofertą.</w:t>
      </w:r>
    </w:p>
    <w:p w:rsidR="007D6454" w:rsidRPr="007D6454" w:rsidRDefault="007D6454" w:rsidP="005E7890">
      <w:r w:rsidRPr="007D6454">
        <w:t>4.</w:t>
      </w:r>
      <w:r>
        <w:t>Upust Wykonawcy odliczany od ceny 1 m</w:t>
      </w:r>
      <w:r>
        <w:rPr>
          <w:vertAlign w:val="superscript"/>
        </w:rPr>
        <w:t xml:space="preserve">3 </w:t>
      </w:r>
      <w:r>
        <w:t>paliwa ustalonej przez producenta wynosi ……. zł netto i jest stały przez cały okres obowiązywania umowy.</w:t>
      </w:r>
      <w:r w:rsidR="00251331">
        <w:t xml:space="preserve"> Upust obowiązuje od daty zawarcia umowy. </w:t>
      </w:r>
    </w:p>
    <w:p w:rsidR="005E7890" w:rsidRDefault="007D6454" w:rsidP="005E7890">
      <w:r>
        <w:t>5</w:t>
      </w:r>
      <w:r w:rsidR="005E7890">
        <w:t>. Każdorazowo po zrealizowanym tankowaniu Wykonawca wystawi Zamawiającemu potwierdzenie na druku WZ lub inny dokument równow</w:t>
      </w:r>
      <w:r>
        <w:t>ażny.</w:t>
      </w:r>
    </w:p>
    <w:p w:rsidR="00251331" w:rsidRDefault="007D6454" w:rsidP="005E7890">
      <w:r>
        <w:t>6</w:t>
      </w:r>
      <w:r w:rsidR="005E7890">
        <w:t>. Prawidłowe faktury za wykonanie dostawy będą zawierać następujące da</w:t>
      </w:r>
      <w:r w:rsidR="00251331">
        <w:t xml:space="preserve">ne: </w:t>
      </w:r>
    </w:p>
    <w:p w:rsidR="005E7890" w:rsidRDefault="00251331" w:rsidP="005E7890">
      <w:r>
        <w:t>Nabywca :</w:t>
      </w:r>
      <w:r>
        <w:tab/>
      </w:r>
      <w:r>
        <w:tab/>
      </w:r>
      <w:r>
        <w:tab/>
      </w:r>
      <w:r>
        <w:tab/>
      </w:r>
      <w:r>
        <w:tab/>
      </w:r>
      <w:r>
        <w:tab/>
        <w:t>Odbiorca:</w:t>
      </w:r>
    </w:p>
    <w:p w:rsidR="005E7890" w:rsidRDefault="00251331" w:rsidP="005E7890">
      <w:r>
        <w:t>Powiat Częstochowski</w:t>
      </w:r>
      <w:r>
        <w:tab/>
      </w:r>
      <w:r>
        <w:tab/>
      </w:r>
      <w:r>
        <w:tab/>
      </w:r>
      <w:r>
        <w:tab/>
      </w:r>
      <w:r>
        <w:tab/>
        <w:t>Dom Pomocy Społecznej</w:t>
      </w:r>
    </w:p>
    <w:p w:rsidR="00251331" w:rsidRDefault="00251331" w:rsidP="005E7890">
      <w:r>
        <w:t>ul. Jana III Sobieskiego 9</w:t>
      </w:r>
      <w:r>
        <w:tab/>
      </w:r>
      <w:r>
        <w:tab/>
      </w:r>
      <w:r>
        <w:tab/>
      </w:r>
      <w:r>
        <w:tab/>
        <w:t>ul. Szczekocińska 19</w:t>
      </w:r>
    </w:p>
    <w:p w:rsidR="005E7890" w:rsidRDefault="00251331" w:rsidP="005E7890">
      <w:r>
        <w:t>42-217 Częstochowa</w:t>
      </w:r>
      <w:r>
        <w:tab/>
      </w:r>
      <w:r>
        <w:tab/>
      </w:r>
      <w:r>
        <w:tab/>
      </w:r>
      <w:r>
        <w:tab/>
      </w:r>
      <w:r>
        <w:tab/>
        <w:t>42-235 Lelów</w:t>
      </w:r>
    </w:p>
    <w:p w:rsidR="005E7890" w:rsidRDefault="005E7890" w:rsidP="00251331">
      <w:r>
        <w:t xml:space="preserve">NIP: </w:t>
      </w:r>
      <w:r w:rsidR="00251331">
        <w:t>5732788125</w:t>
      </w:r>
    </w:p>
    <w:p w:rsidR="00251331" w:rsidRDefault="00251331" w:rsidP="00251331"/>
    <w:p w:rsidR="00251331" w:rsidRDefault="00251331" w:rsidP="00251331"/>
    <w:p w:rsidR="005E7890" w:rsidRDefault="007D6454" w:rsidP="005E7890">
      <w:r>
        <w:t>7</w:t>
      </w:r>
      <w:r w:rsidR="005E7890">
        <w:t>. Do każdej faktury będzie dołączone zestawienie obejmujące wszystkie transakcje zrealizowane w danym okresie rozliczeniowym.</w:t>
      </w:r>
    </w:p>
    <w:p w:rsidR="005E7890" w:rsidRDefault="007D6454" w:rsidP="005E7890">
      <w:r>
        <w:t>8</w:t>
      </w:r>
      <w:r w:rsidR="005E7890">
        <w:t>. Zapłata następować będzie przelewem z konta Zamawiającego na konto Wykonawcy podane na fakturze w terminie do 30 dni od daty otrzymania przez Zamawiającego prawidłowo wystawionej faktury.</w:t>
      </w:r>
    </w:p>
    <w:p w:rsidR="005E7890" w:rsidRDefault="007D6454" w:rsidP="005E7890">
      <w:r>
        <w:lastRenderedPageBreak/>
        <w:t>9</w:t>
      </w:r>
      <w:r w:rsidR="005E7890">
        <w:t xml:space="preserve">. Zamawiający będzie realizować płatność z zastosowaniem mechanizmu podzielnej płatności, tzw. </w:t>
      </w:r>
      <w:proofErr w:type="spellStart"/>
      <w:r w:rsidR="005E7890">
        <w:t>split</w:t>
      </w:r>
      <w:proofErr w:type="spellEnd"/>
      <w:r w:rsidR="005E7890">
        <w:t xml:space="preserve"> </w:t>
      </w:r>
      <w:proofErr w:type="spellStart"/>
      <w:r w:rsidR="005E7890">
        <w:t>payment</w:t>
      </w:r>
      <w:proofErr w:type="spellEnd"/>
      <w:r w:rsidR="005E7890">
        <w:t xml:space="preserve"> w oparciu o art. 108a ust. 1 ustawy z dnia 11 marca 2004 r. o podatku od towarów i usług.</w:t>
      </w:r>
    </w:p>
    <w:p w:rsidR="005E7890" w:rsidRDefault="007D6454" w:rsidP="005E7890">
      <w:r>
        <w:t>10</w:t>
      </w:r>
      <w:r w:rsidR="005E7890">
        <w:t>. Wykonawca oświadcza, że numer rachunku rozliczeniowego wskazany we wszystkich fakturach, które będą wystawiane w jego imieniu, jest rachunkiem dla którego zgodnie z rozdziałem 3a ustawy z dnia 29 sierpnia 1997 r. Prawo bankowe, prowadzony jest rachunek VAT.</w:t>
      </w:r>
    </w:p>
    <w:p w:rsidR="005E7890" w:rsidRDefault="007D6454" w:rsidP="005E7890">
      <w:r>
        <w:t>11</w:t>
      </w:r>
      <w:r w:rsidR="005E7890">
        <w:t>. W przypadku wskazania na fakturze rachunku bankowego nieujawnionego w wykazie podatników VAT, tzw. „biała lista”, Zamawiający uprawniony będzie do wstrzymania zapłaty do momentu ujawnienia właściwego rachunku bankowego lub zapłaty na rachunek bankowy podany na fakturze z jednoczesnym powiadomieniem właściwego naczelnika urzędu skarbowego.</w:t>
      </w:r>
    </w:p>
    <w:p w:rsidR="005E7890" w:rsidRDefault="007D6454" w:rsidP="005E7890">
      <w:r>
        <w:t>12</w:t>
      </w:r>
      <w:r w:rsidR="005E7890">
        <w:t>. Za dzień zapłaty przyjmuje się datę obciążenia rachunku Zamawiającego.</w:t>
      </w:r>
    </w:p>
    <w:p w:rsidR="005E7890" w:rsidRPr="00790046" w:rsidRDefault="005E7890" w:rsidP="00790046">
      <w:pPr>
        <w:jc w:val="center"/>
        <w:rPr>
          <w:b/>
        </w:rPr>
      </w:pPr>
      <w:r w:rsidRPr="00790046">
        <w:rPr>
          <w:b/>
        </w:rPr>
        <w:t>§ 4</w:t>
      </w:r>
    </w:p>
    <w:p w:rsidR="005E7890" w:rsidRPr="00790046" w:rsidRDefault="005E7890" w:rsidP="00790046">
      <w:pPr>
        <w:jc w:val="center"/>
        <w:rPr>
          <w:b/>
        </w:rPr>
      </w:pPr>
      <w:r w:rsidRPr="00790046">
        <w:rPr>
          <w:b/>
        </w:rPr>
        <w:t>Odpowiedzialność Wykonawcy</w:t>
      </w:r>
    </w:p>
    <w:p w:rsidR="002E3048" w:rsidRDefault="005E7890" w:rsidP="005E7890">
      <w:r>
        <w:t>1. Wykonawca gwarantuje i odpowia</w:t>
      </w:r>
      <w:r w:rsidR="00961131">
        <w:t xml:space="preserve">da za jakość sprzedawanego oleju opałowego, który musi </w:t>
      </w:r>
      <w:r>
        <w:t>spełniać wymagania j</w:t>
      </w:r>
      <w:r w:rsidR="00961131">
        <w:t>akościowe</w:t>
      </w:r>
      <w:r>
        <w:t>.</w:t>
      </w:r>
      <w:r w:rsidR="002E3048">
        <w:t xml:space="preserve"> W przypadku stwierdzenia, że wyniki analizy oleju opałowego nie odpowiadają parametrom określonym w Załączniku nr. 1 do Umowy, Wykonawca zobowiązany jest do:</w:t>
      </w:r>
    </w:p>
    <w:p w:rsidR="002E3048" w:rsidRDefault="002E3048" w:rsidP="00E07976">
      <w:pPr>
        <w:spacing w:after="0"/>
      </w:pPr>
      <w:r>
        <w:t>- poniesienia kosztów analizy,</w:t>
      </w:r>
    </w:p>
    <w:p w:rsidR="00E07976" w:rsidRDefault="002E3048" w:rsidP="00E07976">
      <w:pPr>
        <w:spacing w:after="0"/>
      </w:pPr>
      <w:r>
        <w:t>-niezwłocznego wypompowania oleju opałowego z e zbiorników,</w:t>
      </w:r>
    </w:p>
    <w:p w:rsidR="00E07976" w:rsidRDefault="00E07976" w:rsidP="00E07976">
      <w:pPr>
        <w:spacing w:after="0"/>
      </w:pPr>
      <w:r>
        <w:t>- niezwłocznego dostarczenia oleju opałowego o odpowiedniej ilości na koszt własny,</w:t>
      </w:r>
    </w:p>
    <w:p w:rsidR="005E7890" w:rsidRDefault="00E07976" w:rsidP="00E07976">
      <w:pPr>
        <w:spacing w:after="0"/>
      </w:pPr>
      <w:r>
        <w:t xml:space="preserve">- pokrycia ewentualnych kosztów wyrządzonych szkód w stanie technicznym urządzeń grzewczych oraz innych kosztów, odszkodowań lub kar poniesionych przez Zamawiającego wynikających z nienależytej jakości dostarczonego oleju.  </w:t>
      </w:r>
      <w:r w:rsidR="002E3048">
        <w:t xml:space="preserve"> </w:t>
      </w:r>
    </w:p>
    <w:p w:rsidR="00E07976" w:rsidRDefault="00E07976" w:rsidP="00E07976">
      <w:pPr>
        <w:spacing w:after="0"/>
      </w:pPr>
    </w:p>
    <w:p w:rsidR="005E7890" w:rsidRDefault="005E7890" w:rsidP="00E07976">
      <w:pPr>
        <w:spacing w:after="0"/>
      </w:pPr>
      <w:r>
        <w:t xml:space="preserve">2. Wykonawca </w:t>
      </w:r>
      <w:r w:rsidR="00E07976">
        <w:t>dostarcza zamówioną ilość oleju opałowego w terminie określonym przez Zamawiającego wraz z świadectwem jakościowym producenta z każdą dostarczoną partią oleju opałowego.</w:t>
      </w:r>
    </w:p>
    <w:p w:rsidR="00E07976" w:rsidRDefault="00E07976" w:rsidP="00E07976">
      <w:pPr>
        <w:spacing w:after="0"/>
      </w:pPr>
    </w:p>
    <w:p w:rsidR="005E7890" w:rsidRDefault="005E7890" w:rsidP="005E7890">
      <w:r>
        <w:t>3. Wszelkie przypadki stwierdzenia i udokumentowania odchyleń jakości</w:t>
      </w:r>
      <w:r w:rsidR="00961131">
        <w:t>owych sprzedanego oleju opałowego lekkiego</w:t>
      </w:r>
      <w:r>
        <w:t>, będą regulowane w ramach postępowania reklamacyjnego:</w:t>
      </w:r>
    </w:p>
    <w:p w:rsidR="005E7890" w:rsidRDefault="005E7890" w:rsidP="005E7890">
      <w:r>
        <w:t>a) Wykonawca, po pisemnym zawiadomieniu przez Zamawiającego o stwierdzeniu lub podejrzeniu złej jakości paliwa, w terminie 14 dni od dnia zgłoszenia reklamacji wyda decyzję o jej uznaniu lub odrzuceniu,</w:t>
      </w:r>
    </w:p>
    <w:p w:rsidR="005E7890" w:rsidRDefault="005E7890" w:rsidP="005E7890">
      <w:r>
        <w:t>b) w przypadku uznania roszczenia Zamawiającego, Wykonawca naprawi szkodę do wysokości udokumentowanej odpowiednimi rachunkami/fakturami,</w:t>
      </w:r>
    </w:p>
    <w:p w:rsidR="005E7890" w:rsidRDefault="005E7890" w:rsidP="005E7890">
      <w:r>
        <w:t>c) zakończenie postepowania reklamacyjnego u Wykonawcy nie zamyka postępowania na drodze sądowej.</w:t>
      </w:r>
    </w:p>
    <w:p w:rsidR="005E7890" w:rsidRDefault="005E7890" w:rsidP="005E7890">
      <w:r>
        <w:t>4. W przypadku potwierdzeni</w:t>
      </w:r>
      <w:r w:rsidR="007D6454">
        <w:t>a złej jakości sprzedanego oleju opałowego lekkiego</w:t>
      </w:r>
      <w:r>
        <w:t>, Zamawiający ma prawo domagać się obniżenia ceny za ich nabycie.</w:t>
      </w:r>
    </w:p>
    <w:p w:rsidR="00E71BAC" w:rsidRDefault="00E71BAC" w:rsidP="00790046">
      <w:pPr>
        <w:jc w:val="center"/>
        <w:rPr>
          <w:b/>
        </w:rPr>
      </w:pPr>
    </w:p>
    <w:p w:rsidR="00E71BAC" w:rsidRDefault="00E71BAC" w:rsidP="00790046">
      <w:pPr>
        <w:jc w:val="center"/>
        <w:rPr>
          <w:b/>
        </w:rPr>
      </w:pPr>
    </w:p>
    <w:p w:rsidR="005E7890" w:rsidRPr="00790046" w:rsidRDefault="005E7890" w:rsidP="00790046">
      <w:pPr>
        <w:jc w:val="center"/>
        <w:rPr>
          <w:b/>
        </w:rPr>
      </w:pPr>
      <w:r w:rsidRPr="00790046">
        <w:rPr>
          <w:b/>
        </w:rPr>
        <w:lastRenderedPageBreak/>
        <w:t>§ 5</w:t>
      </w:r>
    </w:p>
    <w:p w:rsidR="005E7890" w:rsidRPr="00790046" w:rsidRDefault="005E7890" w:rsidP="00790046">
      <w:pPr>
        <w:jc w:val="center"/>
        <w:rPr>
          <w:b/>
        </w:rPr>
      </w:pPr>
      <w:r w:rsidRPr="00790046">
        <w:rPr>
          <w:b/>
        </w:rPr>
        <w:t>Kary umowne</w:t>
      </w:r>
    </w:p>
    <w:p w:rsidR="005E7890" w:rsidRDefault="00961131" w:rsidP="005E7890">
      <w:r>
        <w:t>1</w:t>
      </w:r>
      <w:r w:rsidR="005E7890">
        <w:t>. Wykonawca zapłaci Zamawiającemu karę umowną w wysokości 20% wynagrodzenia brutto, określonego w §3 ust. 1, za odstąpienie od umowy przez którąkolwiek ze Stron z powodu okoliczności, za które odpowiada Wykonawca.</w:t>
      </w:r>
    </w:p>
    <w:p w:rsidR="005E7890" w:rsidRDefault="00961131" w:rsidP="005E7890">
      <w:r>
        <w:t>2</w:t>
      </w:r>
      <w:r w:rsidR="005E7890">
        <w:t>. Przyjmuje się, że kara umowna jest wymagalna pod warunkiem poinformowania Strony o jej naliczeniu. Termin zapłaty kary umownej wynosi 7 dni od daty otrzymania przez Stronę wezwania do zapłaty.</w:t>
      </w:r>
    </w:p>
    <w:p w:rsidR="005E7890" w:rsidRDefault="00961131" w:rsidP="005E7890">
      <w:r>
        <w:t>3</w:t>
      </w:r>
      <w:r w:rsidR="005E7890">
        <w:t>. Wykonawca wyraża zgodę na potrącenie ewentualnych kar umownych z należnego mu wynagrodzenia.</w:t>
      </w:r>
    </w:p>
    <w:p w:rsidR="005E7890" w:rsidRDefault="00961131" w:rsidP="005E7890">
      <w:r>
        <w:t>4</w:t>
      </w:r>
      <w:r w:rsidR="005E7890">
        <w:t>. Strony postanawiają, że mogą dochodzić odszkodowań na drodze postępowania sądowego do wysokości wyrządzonej szkody, jeżeli jej wartość przewyższa wysokość przewidzianej kary umownej lub kara umowna za wyrządzenie danej szkody nie została przewidziana w niniejszej umowie.</w:t>
      </w:r>
    </w:p>
    <w:p w:rsidR="005E7890" w:rsidRDefault="00961131" w:rsidP="005E7890">
      <w:r>
        <w:t>5</w:t>
      </w:r>
      <w:r w:rsidR="005E7890">
        <w:t>. Maksymalna wysokość kar umownych nie może przekroczyć 30 % wynagrodzenia brutto o którym mowa w § 3 ust. 1.</w:t>
      </w:r>
    </w:p>
    <w:p w:rsidR="005E7890" w:rsidRPr="00790046" w:rsidRDefault="005E7890" w:rsidP="00790046">
      <w:pPr>
        <w:jc w:val="center"/>
        <w:rPr>
          <w:b/>
        </w:rPr>
      </w:pPr>
      <w:r w:rsidRPr="00790046">
        <w:rPr>
          <w:b/>
        </w:rPr>
        <w:t>§ 6</w:t>
      </w:r>
    </w:p>
    <w:p w:rsidR="005E7890" w:rsidRPr="00790046" w:rsidRDefault="005E7890" w:rsidP="00790046">
      <w:pPr>
        <w:jc w:val="center"/>
        <w:rPr>
          <w:b/>
        </w:rPr>
      </w:pPr>
      <w:r w:rsidRPr="00790046">
        <w:rPr>
          <w:b/>
        </w:rPr>
        <w:t>Odstąpienie od umowy</w:t>
      </w:r>
    </w:p>
    <w:p w:rsidR="005E7890" w:rsidRDefault="005E7890" w:rsidP="005E7890">
      <w:r>
        <w:t>1. Zamawiający może odstąpić od umowy w przypadkach przewidzianych obowiązującymi przepisami prawa, w szczególności art. 456 Pzp tj.:</w:t>
      </w:r>
    </w:p>
    <w:p w:rsidR="005E7890" w:rsidRDefault="005E7890" w:rsidP="005E7890">
      <w: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E7890" w:rsidRDefault="005E7890" w:rsidP="005E7890">
      <w:r>
        <w:t>2) jeżeli zachodzi co najmniej jedna z następujących okoliczności:</w:t>
      </w:r>
    </w:p>
    <w:p w:rsidR="005E7890" w:rsidRDefault="005E7890" w:rsidP="005E7890">
      <w:r>
        <w:t>a) dokonano zmiany umowy z naruszeniem art. 454 i art. 455 Pzp,</w:t>
      </w:r>
    </w:p>
    <w:p w:rsidR="005E7890" w:rsidRDefault="005E7890" w:rsidP="005E7890">
      <w:r>
        <w:t>b) Wykonawca w chwili zawarcia umowy podlegał wykluczeniu na podstawie art. 108,</w:t>
      </w:r>
    </w:p>
    <w:p w:rsidR="005E7890" w:rsidRDefault="005E7890" w:rsidP="005E7890">
      <w: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E7890" w:rsidRDefault="005E7890" w:rsidP="005E7890">
      <w:r>
        <w:t>2. W przypadku, o którym mowa w ust. 1 pkt 2 lit. a, Zamawiający odstępuje od umowy w części, której zmiana dotyczy.</w:t>
      </w:r>
    </w:p>
    <w:p w:rsidR="005E7890" w:rsidRDefault="005E7890" w:rsidP="005E7890">
      <w:r>
        <w:t>3. W przypadkach, o których mowa w ust. 1, Wykonawca może żądać wyłącznie wynagrodzenia należnego z tytułu wykonania części umowy.</w:t>
      </w:r>
    </w:p>
    <w:p w:rsidR="00E71BAC" w:rsidRDefault="00E71BAC" w:rsidP="00790046">
      <w:pPr>
        <w:jc w:val="center"/>
        <w:rPr>
          <w:b/>
        </w:rPr>
      </w:pPr>
    </w:p>
    <w:p w:rsidR="00E71BAC" w:rsidRDefault="00E71BAC" w:rsidP="00790046">
      <w:pPr>
        <w:jc w:val="center"/>
        <w:rPr>
          <w:b/>
        </w:rPr>
      </w:pPr>
    </w:p>
    <w:p w:rsidR="005E7890" w:rsidRPr="00790046" w:rsidRDefault="005E7890" w:rsidP="00790046">
      <w:pPr>
        <w:jc w:val="center"/>
        <w:rPr>
          <w:b/>
        </w:rPr>
      </w:pPr>
      <w:r w:rsidRPr="00790046">
        <w:rPr>
          <w:b/>
        </w:rPr>
        <w:lastRenderedPageBreak/>
        <w:t>§ 7</w:t>
      </w:r>
    </w:p>
    <w:p w:rsidR="005E7890" w:rsidRPr="00790046" w:rsidRDefault="005E7890" w:rsidP="00790046">
      <w:pPr>
        <w:jc w:val="center"/>
        <w:rPr>
          <w:b/>
        </w:rPr>
      </w:pPr>
      <w:r w:rsidRPr="00790046">
        <w:rPr>
          <w:b/>
        </w:rPr>
        <w:t>Zmiany treści umowy</w:t>
      </w:r>
    </w:p>
    <w:p w:rsidR="005E7890" w:rsidRDefault="005E7890" w:rsidP="005E7890">
      <w:r>
        <w:t>1. Wszelkie zmiany treści umowy muszą być zgodne z postanowieniami art. 455 ustawy Pzp i wymagają formy pisemnej pod rygorem nieważności.</w:t>
      </w:r>
    </w:p>
    <w:p w:rsidR="005E7890" w:rsidRDefault="005E7890" w:rsidP="005E7890">
      <w:r>
        <w:t>2. Zamawiający przewiduje możliwość zmiany istotnych postanowień umowy obejmujące:</w:t>
      </w:r>
    </w:p>
    <w:p w:rsidR="005E7890" w:rsidRDefault="005E7890" w:rsidP="005E7890">
      <w:r>
        <w:t>1) zmiany wysokości wynagrodzenia, w przypadku wzrostu cen paliw u producentów, w wyniku czego kwota wynagrodzenia należnego Wykonawcy wskazana w § 3 ust. 1 zostanie wyczerpana przed zrealizowaniem przedmiotu umowy w pełnym zakresie ilościowym, o kwotę wynikającą z iloczynu pozostałej do realizacji ilości paliwa przez aktualne ceny jednostkowe obowiązujące u Wykonawcy, z zastosowaniem upustu dla Zamawiającego,</w:t>
      </w:r>
    </w:p>
    <w:p w:rsidR="005E7890" w:rsidRDefault="005E7890" w:rsidP="005E7890">
      <w:r>
        <w:t>2) inne przypadki uzasadniające dopuszczalność zmiany postanowień umowy:</w:t>
      </w:r>
    </w:p>
    <w:p w:rsidR="005E7890" w:rsidRDefault="005E7890" w:rsidP="005E7890">
      <w:r>
        <w:t>a) jeżeli zostanie wprowadzona zmiana obowiązujących przepisów prawa dotyczących rozwiązań wprowadzanych w związku z zapobieganiem, przeciwdziałaniem i zwalczaniem COVID-19 lub inną epidemią – w zakresie w jakim niemożliwa jest realizacja umowy w jej obecnym brzmieniu,</w:t>
      </w:r>
    </w:p>
    <w:p w:rsidR="005E7890" w:rsidRDefault="005E7890" w:rsidP="005E7890">
      <w:r>
        <w:t>b) w przypadku wystąpienia siły wyższej rozumianej jako zdarzenie nagłe, nieuchronne, nadzwyczajne, niezależne od Stron i nie dające się przewidzieć przy zachowaniu należytej staranności.</w:t>
      </w:r>
    </w:p>
    <w:p w:rsidR="00251331" w:rsidRPr="00790046" w:rsidRDefault="00251331" w:rsidP="00251331">
      <w:pPr>
        <w:jc w:val="center"/>
        <w:rPr>
          <w:b/>
        </w:rPr>
      </w:pPr>
      <w:r w:rsidRPr="00790046">
        <w:rPr>
          <w:b/>
        </w:rPr>
        <w:t>§ 8</w:t>
      </w:r>
    </w:p>
    <w:p w:rsidR="00251331" w:rsidRDefault="00251331" w:rsidP="00251331">
      <w:pPr>
        <w:jc w:val="center"/>
        <w:rPr>
          <w:b/>
        </w:rPr>
      </w:pPr>
      <w:r>
        <w:rPr>
          <w:b/>
        </w:rPr>
        <w:t>Ochrona i przetwarzanie danych osobowych</w:t>
      </w:r>
    </w:p>
    <w:p w:rsidR="00251331" w:rsidRPr="00251331" w:rsidRDefault="00251331" w:rsidP="00251331">
      <w:pPr>
        <w:pStyle w:val="NormalnyWeb"/>
        <w:numPr>
          <w:ilvl w:val="0"/>
          <w:numId w:val="1"/>
        </w:numPr>
        <w:tabs>
          <w:tab w:val="clear" w:pos="720"/>
        </w:tabs>
        <w:spacing w:before="0" w:beforeAutospacing="0" w:line="240" w:lineRule="auto"/>
        <w:ind w:left="426" w:hanging="426"/>
        <w:jc w:val="both"/>
        <w:rPr>
          <w:rFonts w:asciiTheme="minorHAnsi" w:hAnsiTheme="minorHAnsi"/>
          <w:sz w:val="22"/>
          <w:szCs w:val="22"/>
        </w:rPr>
      </w:pPr>
      <w:r w:rsidRPr="00251331">
        <w:rPr>
          <w:rFonts w:asciiTheme="minorHAnsi" w:hAnsiTheme="minorHAnsi"/>
          <w:color w:val="000000"/>
          <w:sz w:val="22"/>
          <w:szCs w:val="22"/>
        </w:rPr>
        <w:t xml:space="preserve">Strony zobowiązują się do przetwarzania danych osobowych zgodnie z ogólnym rozporządzeniem Parlamentu Europejskiego i Rady (UE) 2016/679 z 27 kwietnia 2016 r. w sprawie ochrony osób fizycznych w związku z przetwarzaniem danych osobowych i w sprawie swobodnego przepływu takich danych oraz uchylenia dyrektywy 95/46/WE  zwanego w dalszej części  „rozporządzeniem” </w:t>
      </w:r>
      <w:r w:rsidRPr="00251331">
        <w:rPr>
          <w:rFonts w:asciiTheme="minorHAnsi" w:hAnsiTheme="minorHAnsi"/>
          <w:sz w:val="22"/>
          <w:szCs w:val="22"/>
        </w:rPr>
        <w:t>oraz z innymi przepisami prawa powszechnie obowiązującego, które chronią prawa osób, których dane dotyczą.</w:t>
      </w:r>
    </w:p>
    <w:p w:rsidR="00251331" w:rsidRPr="00251331" w:rsidRDefault="00251331" w:rsidP="00251331">
      <w:pPr>
        <w:pStyle w:val="NormalnyWeb"/>
        <w:numPr>
          <w:ilvl w:val="0"/>
          <w:numId w:val="1"/>
        </w:numPr>
        <w:tabs>
          <w:tab w:val="clear" w:pos="720"/>
        </w:tabs>
        <w:spacing w:before="0" w:beforeAutospacing="0" w:after="119" w:line="249" w:lineRule="auto"/>
        <w:ind w:left="426" w:hanging="426"/>
        <w:jc w:val="both"/>
        <w:rPr>
          <w:rFonts w:asciiTheme="minorHAnsi" w:hAnsiTheme="minorHAnsi"/>
          <w:sz w:val="22"/>
          <w:szCs w:val="22"/>
        </w:rPr>
      </w:pPr>
      <w:r w:rsidRPr="00251331">
        <w:rPr>
          <w:rFonts w:asciiTheme="minorHAnsi" w:hAnsiTheme="minorHAnsi"/>
          <w:sz w:val="22"/>
          <w:szCs w:val="22"/>
        </w:rPr>
        <w:t>Strony oświadczają, że posiadają niezbędne, wymagane przepisami prawa środki ochrony fizycznej i organizacyjnej, mającej na celu zapewnienie zgodności przetwarzania danych z przepisami w szczególności, że:</w:t>
      </w:r>
    </w:p>
    <w:p w:rsidR="00251331" w:rsidRPr="00251331" w:rsidRDefault="00251331" w:rsidP="00251331">
      <w:pPr>
        <w:pStyle w:val="Akapitzlist"/>
        <w:numPr>
          <w:ilvl w:val="0"/>
          <w:numId w:val="2"/>
        </w:numPr>
        <w:spacing w:after="160" w:line="259" w:lineRule="auto"/>
        <w:ind w:left="851" w:hanging="425"/>
        <w:jc w:val="both"/>
      </w:pPr>
      <w:r w:rsidRPr="00251331">
        <w:t xml:space="preserve">wdrożyły odpowiednie środki techniczne i organizacyjne w taki sposób, aby przetwarzanie powierzonych mu danych spełniało wymogi Rozporządzenia </w:t>
      </w:r>
      <w:r w:rsidRPr="00251331">
        <w:br/>
        <w:t>i chroniło prawa osób, których dane dotyczą;</w:t>
      </w:r>
    </w:p>
    <w:p w:rsidR="00251331" w:rsidRPr="00251331" w:rsidRDefault="00251331" w:rsidP="00251331">
      <w:pPr>
        <w:pStyle w:val="Akapitzlist"/>
        <w:numPr>
          <w:ilvl w:val="0"/>
          <w:numId w:val="2"/>
        </w:numPr>
        <w:spacing w:after="160" w:line="259" w:lineRule="auto"/>
        <w:ind w:left="851" w:hanging="425"/>
        <w:jc w:val="both"/>
      </w:pPr>
      <w:r w:rsidRPr="00251331">
        <w:t xml:space="preserve">środki, o których mowa w pkt. 1 są na poziomie co najmniej takim, jakiego wymaga art. 32 Rozporządzenia oraz zostały dobrane i są stosowane w oparciu </w:t>
      </w:r>
      <w:r w:rsidRPr="00251331">
        <w:br/>
        <w:t>o prowadzoną analizę ryzyka i zagrożeń;</w:t>
      </w:r>
    </w:p>
    <w:p w:rsidR="00251331" w:rsidRPr="00251331" w:rsidRDefault="00251331" w:rsidP="00251331">
      <w:pPr>
        <w:pStyle w:val="Akapitzlist"/>
        <w:numPr>
          <w:ilvl w:val="0"/>
          <w:numId w:val="2"/>
        </w:numPr>
        <w:spacing w:after="160" w:line="259" w:lineRule="auto"/>
        <w:ind w:left="851" w:hanging="425"/>
        <w:jc w:val="both"/>
      </w:pPr>
      <w:r w:rsidRPr="00251331">
        <w:t>zapewniają regularne testowanie, mierzenie i ocenianie wdrożonych środków ochrony danych;</w:t>
      </w:r>
    </w:p>
    <w:p w:rsidR="00251331" w:rsidRPr="00251331" w:rsidRDefault="00251331" w:rsidP="00251331">
      <w:pPr>
        <w:pStyle w:val="Akapitzlist"/>
        <w:numPr>
          <w:ilvl w:val="0"/>
          <w:numId w:val="2"/>
        </w:numPr>
        <w:spacing w:after="160" w:line="259" w:lineRule="auto"/>
        <w:ind w:left="851" w:hanging="425"/>
        <w:jc w:val="both"/>
      </w:pPr>
      <w:r w:rsidRPr="00251331">
        <w:t>przeszkoliły oraz zobowiązały do zachowania poufności osoby, które będą przetwarzały powierzone dane, zostały im również nadane upoważnienia.</w:t>
      </w:r>
    </w:p>
    <w:p w:rsidR="00251331" w:rsidRDefault="00251331" w:rsidP="005E7890"/>
    <w:p w:rsidR="00E71BAC" w:rsidRDefault="00E71BAC" w:rsidP="00790046">
      <w:pPr>
        <w:jc w:val="center"/>
        <w:rPr>
          <w:b/>
        </w:rPr>
      </w:pPr>
    </w:p>
    <w:p w:rsidR="005E7890" w:rsidRPr="00790046" w:rsidRDefault="00251331" w:rsidP="00790046">
      <w:pPr>
        <w:jc w:val="center"/>
        <w:rPr>
          <w:b/>
        </w:rPr>
      </w:pPr>
      <w:r>
        <w:rPr>
          <w:b/>
        </w:rPr>
        <w:lastRenderedPageBreak/>
        <w:t>§ 9</w:t>
      </w:r>
    </w:p>
    <w:p w:rsidR="005E7890" w:rsidRPr="00790046" w:rsidRDefault="005E7890" w:rsidP="00790046">
      <w:pPr>
        <w:jc w:val="center"/>
        <w:rPr>
          <w:b/>
        </w:rPr>
      </w:pPr>
      <w:r w:rsidRPr="00790046">
        <w:rPr>
          <w:b/>
        </w:rPr>
        <w:t>Postanowienia końcowe</w:t>
      </w:r>
    </w:p>
    <w:p w:rsidR="005E7890" w:rsidRDefault="005E7890" w:rsidP="005E7890">
      <w:r>
        <w:t>1. W sprawach nieuregulowanych niniejszą umową zastosowanie mają odpowiednie przepisy Kodeksu Cywilnego oraz ustawy Prawo zamówień publicznych.</w:t>
      </w:r>
    </w:p>
    <w:p w:rsidR="005E7890" w:rsidRDefault="005E7890" w:rsidP="005E7890">
      <w:r>
        <w:t>2. Ewentualne spory powstałe na tle realizacji niniejszej umowy Strony poddają rozstrzygnięciu sądu właściwego rzeczowo dla Zamawiającego.</w:t>
      </w:r>
    </w:p>
    <w:p w:rsidR="005E7890" w:rsidRDefault="005E7890" w:rsidP="005E7890">
      <w:r>
        <w:t>3. Niniejszą umowę sporządzono w trzech jednobrzmiących egzemplarzach, w tym dwa egzemplarze dla Zamawiającego i jeden egzemplarz dla Wykonawcy.</w:t>
      </w:r>
    </w:p>
    <w:p w:rsidR="005E7890" w:rsidRPr="00961131" w:rsidRDefault="005E7890" w:rsidP="00961131">
      <w:pPr>
        <w:jc w:val="center"/>
        <w:rPr>
          <w:b/>
        </w:rPr>
      </w:pPr>
      <w:r w:rsidRPr="00961131">
        <w:rPr>
          <w:b/>
        </w:rPr>
        <w:t xml:space="preserve">ZAMAWIAJĄCY </w:t>
      </w:r>
      <w:r w:rsidRPr="00961131">
        <w:rPr>
          <w:b/>
        </w:rPr>
        <w:tab/>
      </w:r>
      <w:r w:rsidRPr="00961131">
        <w:rPr>
          <w:b/>
        </w:rPr>
        <w:tab/>
      </w:r>
      <w:r w:rsidRPr="00961131">
        <w:rPr>
          <w:b/>
        </w:rPr>
        <w:tab/>
      </w:r>
      <w:r w:rsidRPr="00961131">
        <w:rPr>
          <w:b/>
        </w:rPr>
        <w:tab/>
      </w:r>
      <w:r w:rsidRPr="00961131">
        <w:rPr>
          <w:b/>
        </w:rPr>
        <w:tab/>
      </w:r>
      <w:r w:rsidRPr="00961131">
        <w:rPr>
          <w:b/>
        </w:rPr>
        <w:tab/>
      </w:r>
      <w:r w:rsidRPr="00961131">
        <w:rPr>
          <w:b/>
        </w:rPr>
        <w:tab/>
      </w:r>
      <w:r w:rsidRPr="00961131">
        <w:rPr>
          <w:b/>
        </w:rPr>
        <w:tab/>
        <w:t>WYKONAWCA</w:t>
      </w:r>
    </w:p>
    <w:p w:rsidR="005E7890" w:rsidRDefault="005E7890" w:rsidP="005E7890"/>
    <w:p w:rsidR="005E7890" w:rsidRDefault="005E7890" w:rsidP="005E7890"/>
    <w:p w:rsidR="005E7890" w:rsidRDefault="005E7890" w:rsidP="005E7890"/>
    <w:p w:rsidR="005E7890" w:rsidRDefault="005E7890" w:rsidP="005E7890"/>
    <w:p w:rsidR="005E7890" w:rsidRDefault="005E7890" w:rsidP="005E7890"/>
    <w:p w:rsidR="005E7890" w:rsidRDefault="005E7890" w:rsidP="005E7890"/>
    <w:p w:rsidR="005E7890" w:rsidRDefault="005E7890"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DC6D04" w:rsidRPr="00DC6D04" w:rsidRDefault="00DC6D04" w:rsidP="00DC6D04">
      <w:pPr>
        <w:autoSpaceDE w:val="0"/>
        <w:autoSpaceDN w:val="0"/>
        <w:adjustRightInd w:val="0"/>
        <w:spacing w:after="0" w:line="240" w:lineRule="auto"/>
        <w:jc w:val="right"/>
        <w:rPr>
          <w:rFonts w:ascii="Times New Roman" w:eastAsia="Calibri" w:hAnsi="Times New Roman" w:cs="Times New Roman"/>
          <w:b/>
          <w:bCs/>
          <w:sz w:val="18"/>
          <w:szCs w:val="18"/>
        </w:rPr>
      </w:pPr>
      <w:r w:rsidRPr="00DC6D04">
        <w:rPr>
          <w:rFonts w:ascii="Times New Roman" w:eastAsia="Calibri" w:hAnsi="Times New Roman" w:cs="Times New Roman"/>
          <w:b/>
          <w:bCs/>
          <w:sz w:val="18"/>
          <w:szCs w:val="18"/>
        </w:rPr>
        <w:lastRenderedPageBreak/>
        <w:t xml:space="preserve">Załącznik nr. 1  do umowy nr………….. z dnia……………………… </w:t>
      </w:r>
    </w:p>
    <w:p w:rsidR="00DC6D04" w:rsidRPr="00DC6D04" w:rsidRDefault="00DC6D04" w:rsidP="00DC6D04">
      <w:pPr>
        <w:autoSpaceDE w:val="0"/>
        <w:autoSpaceDN w:val="0"/>
        <w:adjustRightInd w:val="0"/>
        <w:spacing w:after="0" w:line="240" w:lineRule="auto"/>
        <w:jc w:val="center"/>
        <w:rPr>
          <w:rFonts w:ascii="Times New Roman" w:eastAsia="Calibri" w:hAnsi="Times New Roman" w:cs="Times New Roman"/>
          <w:b/>
          <w:bCs/>
        </w:rPr>
      </w:pPr>
    </w:p>
    <w:p w:rsidR="00DC6D04" w:rsidRPr="00DC6D04" w:rsidRDefault="00DC6D04" w:rsidP="00DC6D04">
      <w:pPr>
        <w:autoSpaceDE w:val="0"/>
        <w:autoSpaceDN w:val="0"/>
        <w:adjustRightInd w:val="0"/>
        <w:spacing w:after="0" w:line="240" w:lineRule="auto"/>
        <w:jc w:val="center"/>
        <w:rPr>
          <w:rFonts w:ascii="Times New Roman" w:eastAsia="Calibri" w:hAnsi="Times New Roman" w:cs="Times New Roman"/>
          <w:b/>
          <w:bCs/>
        </w:rPr>
      </w:pPr>
      <w:r w:rsidRPr="00DC6D04">
        <w:rPr>
          <w:rFonts w:ascii="Times New Roman" w:eastAsia="Calibri" w:hAnsi="Times New Roman" w:cs="Times New Roman"/>
          <w:b/>
          <w:bCs/>
        </w:rPr>
        <w:t>CHARAKTERYSTYKA OLEJU OPAŁOWEGO</w:t>
      </w:r>
    </w:p>
    <w:p w:rsidR="00DC6D04" w:rsidRPr="00DC6D04" w:rsidRDefault="00DC6D04" w:rsidP="00DC6D04">
      <w:pPr>
        <w:autoSpaceDE w:val="0"/>
        <w:autoSpaceDN w:val="0"/>
        <w:adjustRightInd w:val="0"/>
        <w:spacing w:after="0" w:line="240" w:lineRule="auto"/>
        <w:jc w:val="center"/>
        <w:rPr>
          <w:rFonts w:ascii="Times New Roman" w:eastAsia="Calibri" w:hAnsi="Times New Roman" w:cs="Times New Roman"/>
          <w:b/>
          <w:bCs/>
        </w:rPr>
      </w:pPr>
      <w:r w:rsidRPr="00DC6D04">
        <w:rPr>
          <w:rFonts w:ascii="Times New Roman" w:eastAsia="Calibri" w:hAnsi="Times New Roman" w:cs="Times New Roman"/>
          <w:b/>
          <w:bCs/>
        </w:rPr>
        <w:t>I ZASADY ZMIAN CEN</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r w:rsidRPr="00DC6D04">
        <w:rPr>
          <w:rFonts w:ascii="Times New Roman" w:eastAsia="Calibri" w:hAnsi="Times New Roman" w:cs="Times New Roman"/>
          <w:b/>
          <w:bCs/>
        </w:rPr>
        <w:t>I. CHARAKTERYSTYKA OLEJU OPAŁOWEGO.</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i/>
          <w:iCs/>
        </w:rPr>
      </w:pPr>
      <w:r w:rsidRPr="00DC6D04">
        <w:rPr>
          <w:rFonts w:ascii="Times New Roman" w:eastAsia="Calibri" w:hAnsi="Times New Roman" w:cs="Times New Roman"/>
          <w:i/>
          <w:iCs/>
        </w:rPr>
        <w:t>/zgodna z ofertą Wykonawcy/</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r w:rsidRPr="00DC6D04">
        <w:rPr>
          <w:rFonts w:ascii="Times New Roman" w:eastAsia="Calibri" w:hAnsi="Times New Roman" w:cs="Times New Roman"/>
          <w:b/>
          <w:bCs/>
        </w:rPr>
        <w:t xml:space="preserve">1. </w:t>
      </w:r>
      <w:r w:rsidRPr="00DC6D04">
        <w:rPr>
          <w:rFonts w:ascii="Times New Roman" w:eastAsia="Calibri" w:hAnsi="Times New Roman" w:cs="Times New Roman"/>
        </w:rPr>
        <w:t>Przedmiotem Umowy jest lekki olej opałowy, gatunek L-1 o nazwie olej napędowy grzewczy</w:t>
      </w:r>
    </w:p>
    <w:p w:rsidR="00DC6D04" w:rsidRPr="00DC6D04" w:rsidRDefault="00DC6D04" w:rsidP="00DC6D04">
      <w:pPr>
        <w:spacing w:after="200" w:line="276" w:lineRule="auto"/>
        <w:rPr>
          <w:rFonts w:ascii="Times New Roman" w:eastAsia="Calibri" w:hAnsi="Times New Roman" w:cs="Times New Roman"/>
          <w:b/>
          <w:bCs/>
        </w:rPr>
      </w:pPr>
      <w:r w:rsidRPr="00DC6D04">
        <w:rPr>
          <w:rFonts w:ascii="Times New Roman" w:eastAsia="Calibri" w:hAnsi="Times New Roman" w:cs="Times New Roman"/>
          <w:b/>
          <w:bCs/>
        </w:rPr>
        <w:t xml:space="preserve">EKOTERM PLUS </w:t>
      </w:r>
      <w:r w:rsidRPr="00DC6D04">
        <w:rPr>
          <w:rFonts w:ascii="Times New Roman" w:eastAsia="Calibri" w:hAnsi="Times New Roman" w:cs="Times New Roman"/>
        </w:rPr>
        <w:t xml:space="preserve">produkowany przez </w:t>
      </w:r>
      <w:r w:rsidRPr="00DC6D04">
        <w:rPr>
          <w:rFonts w:ascii="Times New Roman" w:eastAsia="Calibri" w:hAnsi="Times New Roman" w:cs="Times New Roman"/>
          <w:b/>
          <w:bCs/>
        </w:rPr>
        <w:t>PKN ORLEN S. A.</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r w:rsidRPr="00DC6D04">
        <w:rPr>
          <w:rFonts w:ascii="Times New Roman" w:eastAsia="Calibri" w:hAnsi="Times New Roman" w:cs="Times New Roman"/>
          <w:b/>
          <w:bCs/>
        </w:rPr>
        <w:t>II. OFEROWANY OLEJ OPAŁOWY:</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r w:rsidRPr="00DC6D04">
        <w:rPr>
          <w:rFonts w:ascii="Times New Roman" w:eastAsia="Calibri" w:hAnsi="Times New Roman" w:cs="Times New Roman"/>
          <w:b/>
          <w:bCs/>
        </w:rPr>
        <w:t xml:space="preserve">1. </w:t>
      </w:r>
      <w:r w:rsidRPr="00DC6D04">
        <w:rPr>
          <w:rFonts w:ascii="Times New Roman" w:eastAsia="Calibri" w:hAnsi="Times New Roman" w:cs="Times New Roman"/>
        </w:rPr>
        <w:t>Jest w pełni mieszalny z innymi olejami opałowymi lekkimi, spełniającymi ww. PN;</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r w:rsidRPr="00DC6D04">
        <w:rPr>
          <w:rFonts w:ascii="Times New Roman" w:eastAsia="Calibri" w:hAnsi="Times New Roman" w:cs="Times New Roman"/>
          <w:b/>
          <w:bCs/>
        </w:rPr>
        <w:t xml:space="preserve">1.1. </w:t>
      </w:r>
      <w:r w:rsidRPr="00DC6D04">
        <w:rPr>
          <w:rFonts w:ascii="Times New Roman" w:eastAsia="Calibri" w:hAnsi="Times New Roman" w:cs="Times New Roman"/>
        </w:rPr>
        <w:t>Posiada parametry jakościowe (właściwości fizykochemiczne) określone dla olejów opałowych lekkich gatunek L – 1.</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r w:rsidRPr="00DC6D04">
        <w:rPr>
          <w:rFonts w:ascii="Times New Roman" w:eastAsia="Calibri" w:hAnsi="Times New Roman" w:cs="Times New Roman"/>
          <w:b/>
          <w:bCs/>
        </w:rPr>
        <w:t>III. USTALENIE CEN I UPUSTU DOSTAWCY.</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r w:rsidRPr="00DC6D04">
        <w:rPr>
          <w:rFonts w:ascii="Times New Roman" w:eastAsia="Calibri" w:hAnsi="Times New Roman" w:cs="Times New Roman"/>
          <w:b/>
          <w:bCs/>
        </w:rPr>
        <w:t>1. Cena 1m</w:t>
      </w:r>
      <w:r w:rsidRPr="00DC6D04">
        <w:rPr>
          <w:rFonts w:ascii="Times New Roman" w:eastAsia="Calibri" w:hAnsi="Times New Roman" w:cs="Times New Roman"/>
          <w:b/>
          <w:bCs/>
          <w:sz w:val="13"/>
          <w:szCs w:val="13"/>
        </w:rPr>
        <w:t xml:space="preserve">3 </w:t>
      </w:r>
      <w:r w:rsidRPr="00DC6D04">
        <w:rPr>
          <w:rFonts w:ascii="Times New Roman" w:eastAsia="Calibri" w:hAnsi="Times New Roman" w:cs="Times New Roman"/>
        </w:rPr>
        <w:t xml:space="preserve">oleju opałowego brutto tj. z upustem Sprzedającego i podatkiem VAT obowiązująca w dniu </w:t>
      </w:r>
      <w:r w:rsidRPr="00DC6D04">
        <w:rPr>
          <w:rFonts w:ascii="Times New Roman" w:eastAsia="Calibri" w:hAnsi="Times New Roman" w:cs="Times New Roman"/>
          <w:b/>
          <w:bCs/>
        </w:rPr>
        <w:t xml:space="preserve">………2021 r. </w:t>
      </w:r>
      <w:r w:rsidRPr="00DC6D04">
        <w:rPr>
          <w:rFonts w:ascii="Times New Roman" w:eastAsia="Calibri" w:hAnsi="Times New Roman" w:cs="Times New Roman"/>
        </w:rPr>
        <w:t>zgodna z ofertą Sprzedającego wynosi</w:t>
      </w:r>
      <w:r w:rsidRPr="00DC6D04">
        <w:rPr>
          <w:rFonts w:ascii="Times New Roman" w:eastAsia="Calibri" w:hAnsi="Times New Roman" w:cs="Times New Roman"/>
          <w:b/>
          <w:bCs/>
        </w:rPr>
        <w:t>: …………. zł.</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r w:rsidRPr="00DC6D04">
        <w:rPr>
          <w:rFonts w:ascii="Times New Roman" w:eastAsia="Calibri" w:hAnsi="Times New Roman" w:cs="Times New Roman"/>
          <w:b/>
          <w:bCs/>
        </w:rPr>
        <w:t>1.1. Średnia cena netto 1 m</w:t>
      </w:r>
      <w:r w:rsidRPr="00DC6D04">
        <w:rPr>
          <w:rFonts w:ascii="Times New Roman" w:eastAsia="Calibri" w:hAnsi="Times New Roman" w:cs="Times New Roman"/>
          <w:b/>
          <w:bCs/>
          <w:sz w:val="13"/>
          <w:szCs w:val="13"/>
        </w:rPr>
        <w:t xml:space="preserve">3 </w:t>
      </w:r>
      <w:r w:rsidRPr="00DC6D04">
        <w:rPr>
          <w:rFonts w:ascii="Times New Roman" w:eastAsia="Calibri" w:hAnsi="Times New Roman" w:cs="Times New Roman"/>
        </w:rPr>
        <w:t xml:space="preserve">oleju opałowego </w:t>
      </w:r>
      <w:r w:rsidRPr="00DC6D04">
        <w:rPr>
          <w:rFonts w:ascii="Times New Roman" w:eastAsia="Calibri" w:hAnsi="Times New Roman" w:cs="Times New Roman"/>
          <w:b/>
          <w:bCs/>
        </w:rPr>
        <w:t xml:space="preserve">największych producentów </w:t>
      </w:r>
      <w:r w:rsidRPr="00DC6D04">
        <w:rPr>
          <w:rFonts w:ascii="Times New Roman" w:eastAsia="Calibri" w:hAnsi="Times New Roman" w:cs="Times New Roman"/>
        </w:rPr>
        <w:t>(tj. cena PKN ORLEN S. A. + cena Grupy LOTOS S. A., podzielona przez 2) dla autocystern, obowiązująca w dniu</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r w:rsidRPr="00DC6D04">
        <w:rPr>
          <w:rFonts w:ascii="Times New Roman" w:eastAsia="Calibri" w:hAnsi="Times New Roman" w:cs="Times New Roman"/>
          <w:b/>
          <w:bCs/>
        </w:rPr>
        <w:t xml:space="preserve">……….2021 r. r. </w:t>
      </w:r>
      <w:r w:rsidRPr="00DC6D04">
        <w:rPr>
          <w:rFonts w:ascii="Times New Roman" w:eastAsia="Calibri" w:hAnsi="Times New Roman" w:cs="Times New Roman"/>
        </w:rPr>
        <w:t xml:space="preserve">na stronach internetowych PKN ORLEN S. A. i Grupy LOTOS S. A., wynosi </w:t>
      </w:r>
      <w:r w:rsidRPr="00DC6D04">
        <w:rPr>
          <w:rFonts w:ascii="Times New Roman" w:eastAsia="Calibri" w:hAnsi="Times New Roman" w:cs="Times New Roman"/>
          <w:b/>
          <w:bCs/>
        </w:rPr>
        <w:t>………….zł</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r w:rsidRPr="00DC6D04">
        <w:rPr>
          <w:rFonts w:ascii="Times New Roman" w:eastAsia="Calibri" w:hAnsi="Times New Roman" w:cs="Times New Roman"/>
          <w:b/>
          <w:bCs/>
        </w:rPr>
        <w:t xml:space="preserve">1.2. Upust Sprzedającego </w:t>
      </w:r>
      <w:r w:rsidRPr="00DC6D04">
        <w:rPr>
          <w:rFonts w:ascii="Times New Roman" w:eastAsia="Calibri" w:hAnsi="Times New Roman" w:cs="Times New Roman"/>
        </w:rPr>
        <w:t>w odniesieniu do cen największych producentów oleju opałowego</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i/>
          <w:iCs/>
        </w:rPr>
      </w:pPr>
      <w:r w:rsidRPr="00DC6D04">
        <w:rPr>
          <w:rFonts w:ascii="Times New Roman" w:eastAsia="Calibri" w:hAnsi="Times New Roman" w:cs="Times New Roman"/>
          <w:b/>
          <w:bCs/>
        </w:rPr>
        <w:t>wynosi: ………….. zł/1 m</w:t>
      </w:r>
      <w:r w:rsidRPr="00DC6D04">
        <w:rPr>
          <w:rFonts w:ascii="Times New Roman" w:eastAsia="Calibri" w:hAnsi="Times New Roman" w:cs="Times New Roman"/>
          <w:b/>
          <w:bCs/>
          <w:sz w:val="13"/>
          <w:szCs w:val="13"/>
        </w:rPr>
        <w:t xml:space="preserve">3 </w:t>
      </w:r>
      <w:r w:rsidRPr="00DC6D04">
        <w:rPr>
          <w:rFonts w:ascii="Times New Roman" w:eastAsia="Calibri" w:hAnsi="Times New Roman" w:cs="Times New Roman"/>
          <w:i/>
          <w:iCs/>
        </w:rPr>
        <w:t>(zaokrąglone do dwóch miejsc po przecinku)</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i/>
          <w:iCs/>
        </w:rPr>
      </w:pPr>
    </w:p>
    <w:p w:rsidR="00DC6D04" w:rsidRPr="00DC6D04" w:rsidRDefault="00DC6D04" w:rsidP="00DC6D04">
      <w:pPr>
        <w:spacing w:after="200" w:line="276" w:lineRule="auto"/>
        <w:rPr>
          <w:rFonts w:ascii="Times New Roman" w:eastAsia="Calibri" w:hAnsi="Times New Roman" w:cs="Times New Roman"/>
          <w:b/>
          <w:bCs/>
          <w:sz w:val="13"/>
          <w:szCs w:val="13"/>
        </w:rPr>
      </w:pPr>
      <w:r w:rsidRPr="00DC6D04">
        <w:rPr>
          <w:rFonts w:ascii="Times New Roman" w:eastAsia="Calibri" w:hAnsi="Times New Roman" w:cs="Times New Roman"/>
          <w:b/>
          <w:bCs/>
        </w:rPr>
        <w:t xml:space="preserve">1.3. </w:t>
      </w:r>
      <w:r w:rsidRPr="00DC6D04">
        <w:rPr>
          <w:rFonts w:ascii="Times New Roman" w:eastAsia="Calibri" w:hAnsi="Times New Roman" w:cs="Times New Roman"/>
        </w:rPr>
        <w:t xml:space="preserve">Cena netto po uwzględnieniu upustu wynosi </w:t>
      </w:r>
      <w:r w:rsidRPr="00DC6D04">
        <w:rPr>
          <w:rFonts w:ascii="Times New Roman" w:eastAsia="Calibri" w:hAnsi="Times New Roman" w:cs="Times New Roman"/>
          <w:b/>
          <w:bCs/>
        </w:rPr>
        <w:t>………………… zł/1m</w:t>
      </w:r>
      <w:r w:rsidRPr="00DC6D04">
        <w:rPr>
          <w:rFonts w:ascii="Times New Roman" w:eastAsia="Calibri" w:hAnsi="Times New Roman" w:cs="Times New Roman"/>
          <w:b/>
          <w:bCs/>
          <w:sz w:val="13"/>
          <w:szCs w:val="13"/>
        </w:rPr>
        <w:t>3</w:t>
      </w:r>
      <w:r w:rsidRPr="00DC6D04">
        <w:rPr>
          <w:rFonts w:ascii="Times New Roman" w:eastAsia="Calibri" w:hAnsi="Times New Roman" w:cs="Times New Roman"/>
          <w:b/>
          <w:bCs/>
          <w:sz w:val="13"/>
          <w:szCs w:val="13"/>
        </w:rPr>
        <w:br/>
      </w:r>
    </w:p>
    <w:p w:rsidR="00DC6D04" w:rsidRPr="00DC6D04" w:rsidRDefault="00DC6D04" w:rsidP="00DC6D04">
      <w:pPr>
        <w:autoSpaceDE w:val="0"/>
        <w:autoSpaceDN w:val="0"/>
        <w:adjustRightInd w:val="0"/>
        <w:spacing w:after="0" w:line="240" w:lineRule="auto"/>
        <w:rPr>
          <w:rFonts w:ascii="Times New Roman" w:eastAsia="Calibri" w:hAnsi="Times New Roman" w:cs="Times New Roman"/>
          <w:b/>
          <w:bCs/>
        </w:rPr>
      </w:pPr>
      <w:r w:rsidRPr="00DC6D04">
        <w:rPr>
          <w:rFonts w:ascii="Times New Roman" w:eastAsia="Calibri" w:hAnsi="Times New Roman" w:cs="Times New Roman"/>
          <w:b/>
          <w:bCs/>
        </w:rPr>
        <w:t>IV. ZASADY ZMIANY CEN.</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r w:rsidRPr="00DC6D04">
        <w:rPr>
          <w:rFonts w:ascii="Times New Roman" w:eastAsia="Calibri" w:hAnsi="Times New Roman" w:cs="Times New Roman"/>
          <w:b/>
          <w:bCs/>
        </w:rPr>
        <w:t xml:space="preserve">1. </w:t>
      </w:r>
      <w:r w:rsidRPr="00DC6D04">
        <w:rPr>
          <w:rFonts w:ascii="Times New Roman" w:eastAsia="Calibri" w:hAnsi="Times New Roman" w:cs="Times New Roman"/>
        </w:rPr>
        <w:t>Ceny dostarczonego oleju opałowego mogą ulegać podwyższeniu i muszą ulegać obniżeniu zgodnie z następującymi zasadami:</w:t>
      </w:r>
    </w:p>
    <w:p w:rsidR="00DC6D04" w:rsidRPr="00DC6D04" w:rsidRDefault="00DC6D04" w:rsidP="00DC6D04">
      <w:pPr>
        <w:autoSpaceDE w:val="0"/>
        <w:autoSpaceDN w:val="0"/>
        <w:adjustRightInd w:val="0"/>
        <w:spacing w:after="0" w:line="240" w:lineRule="auto"/>
        <w:rPr>
          <w:rFonts w:ascii="Times New Roman" w:eastAsia="Calibri" w:hAnsi="Times New Roman" w:cs="Times New Roman"/>
        </w:rPr>
      </w:pPr>
      <w:r w:rsidRPr="00DC6D04">
        <w:rPr>
          <w:rFonts w:ascii="Times New Roman" w:eastAsia="Calibri" w:hAnsi="Times New Roman" w:cs="Times New Roman"/>
          <w:b/>
          <w:bCs/>
        </w:rPr>
        <w:t xml:space="preserve">1) </w:t>
      </w:r>
      <w:r w:rsidRPr="00DC6D04">
        <w:rPr>
          <w:rFonts w:ascii="Times New Roman" w:eastAsia="Calibri" w:hAnsi="Times New Roman" w:cs="Times New Roman"/>
        </w:rPr>
        <w:t>Cena na fakturze dla Domu Pomocy Społecznej w Lelowie , to cena netto wybranego producenta, zgodna z komunikatem cenowym opublikowanym na stronach internetowych PKN ORLEN S. A. i Grupy LOTOS S. A w dniu dostawy, pomniejszona o upust Sprzedającego plus podatek VAT.</w:t>
      </w:r>
    </w:p>
    <w:p w:rsidR="00DC6D04" w:rsidRDefault="00DC6D04" w:rsidP="005E7890"/>
    <w:p w:rsidR="00DC6D04" w:rsidRDefault="00DC6D04" w:rsidP="005E7890"/>
    <w:p w:rsidR="00DC6D04" w:rsidRDefault="00DC6D04" w:rsidP="005E7890"/>
    <w:p w:rsidR="00DC6D04" w:rsidRDefault="00DC6D04" w:rsidP="005E7890"/>
    <w:p w:rsidR="00DC6D04" w:rsidRDefault="00DC6D04" w:rsidP="005E7890"/>
    <w:p w:rsidR="005E7890" w:rsidRDefault="005E7890" w:rsidP="005E7890"/>
    <w:sectPr w:rsidR="005E7890" w:rsidSect="008B3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60C"/>
    <w:multiLevelType w:val="hybridMultilevel"/>
    <w:tmpl w:val="0D724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C90012"/>
    <w:multiLevelType w:val="multilevel"/>
    <w:tmpl w:val="DFAE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14871"/>
    <w:multiLevelType w:val="hybridMultilevel"/>
    <w:tmpl w:val="B2B20C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6C624968"/>
    <w:multiLevelType w:val="hybridMultilevel"/>
    <w:tmpl w:val="0D724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2"/>
  </w:compat>
  <w:rsids>
    <w:rsidRoot w:val="005E7890"/>
    <w:rsid w:val="00251331"/>
    <w:rsid w:val="002E3048"/>
    <w:rsid w:val="005E7890"/>
    <w:rsid w:val="00666C83"/>
    <w:rsid w:val="00790046"/>
    <w:rsid w:val="007D6454"/>
    <w:rsid w:val="00874D26"/>
    <w:rsid w:val="008B373F"/>
    <w:rsid w:val="00961131"/>
    <w:rsid w:val="00A261AD"/>
    <w:rsid w:val="00C20234"/>
    <w:rsid w:val="00DC6D04"/>
    <w:rsid w:val="00DD304A"/>
    <w:rsid w:val="00E07976"/>
    <w:rsid w:val="00E71BAC"/>
    <w:rsid w:val="00F246F8"/>
    <w:rsid w:val="00F63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5DA8"/>
  <w15:docId w15:val="{C84F234C-778A-4A27-9423-0FB7BA1A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7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6454"/>
    <w:rPr>
      <w:color w:val="0563C1" w:themeColor="hyperlink"/>
      <w:u w:val="single"/>
    </w:rPr>
  </w:style>
  <w:style w:type="paragraph" w:styleId="Akapitzlist">
    <w:name w:val="List Paragraph"/>
    <w:basedOn w:val="Normalny"/>
    <w:uiPriority w:val="34"/>
    <w:qFormat/>
    <w:rsid w:val="00251331"/>
    <w:pPr>
      <w:spacing w:after="200" w:line="276" w:lineRule="auto"/>
      <w:ind w:left="720"/>
      <w:contextualSpacing/>
    </w:pPr>
  </w:style>
  <w:style w:type="paragraph" w:styleId="NormalnyWeb">
    <w:name w:val="Normal (Web)"/>
    <w:basedOn w:val="Normalny"/>
    <w:uiPriority w:val="99"/>
    <w:unhideWhenUsed/>
    <w:rsid w:val="00251331"/>
    <w:pPr>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len.pl" TargetMode="External"/><Relationship Id="rId5" Type="http://schemas.openxmlformats.org/officeDocument/2006/relationships/hyperlink" Target="http://www.loto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2107</Words>
  <Characters>12647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9</cp:revision>
  <dcterms:created xsi:type="dcterms:W3CDTF">2021-12-12T20:28:00Z</dcterms:created>
  <dcterms:modified xsi:type="dcterms:W3CDTF">2022-01-12T21:40:00Z</dcterms:modified>
</cp:coreProperties>
</file>